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CC7" w:rsidRDefault="00945CC7" w:rsidP="00945CC7">
      <w:pPr>
        <w:spacing w:after="0"/>
      </w:pPr>
    </w:p>
    <w:p w:rsidR="00945CC7" w:rsidRDefault="00945CC7" w:rsidP="00945CC7">
      <w:pPr>
        <w:spacing w:after="0"/>
      </w:pPr>
      <w:r>
        <w:rPr>
          <w:sz w:val="20"/>
        </w:rPr>
        <w:t xml:space="preserve"> </w:t>
      </w:r>
    </w:p>
    <w:p w:rsidR="00945CC7" w:rsidRDefault="00945CC7" w:rsidP="00945CC7">
      <w:pPr>
        <w:pStyle w:val="Heading1"/>
        <w:ind w:left="-5"/>
      </w:pPr>
      <w:r>
        <w:t xml:space="preserve">Visual Analogue Scale (VAS)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4" w:line="261" w:lineRule="auto"/>
        <w:ind w:left="10"/>
      </w:pPr>
      <w:r>
        <w:rPr>
          <w:rFonts w:ascii="Verdana" w:eastAsia="Verdana" w:hAnsi="Verdana" w:cs="Verdana"/>
          <w:b/>
          <w:i/>
        </w:rPr>
        <w:t xml:space="preserve">Instructions for producing a VAS Bedside card: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4" w:line="261" w:lineRule="auto"/>
        <w:ind w:left="10"/>
      </w:pPr>
      <w:r>
        <w:rPr>
          <w:rFonts w:ascii="Verdana" w:eastAsia="Verdana" w:hAnsi="Verdana" w:cs="Verdana"/>
          <w:b/>
          <w:i/>
        </w:rPr>
        <w:t xml:space="preserve">OPTION 1 </w:t>
      </w:r>
    </w:p>
    <w:p w:rsidR="00945CC7" w:rsidRDefault="00945CC7" w:rsidP="00945CC7">
      <w:pPr>
        <w:numPr>
          <w:ilvl w:val="0"/>
          <w:numId w:val="1"/>
        </w:numPr>
        <w:spacing w:after="5" w:line="249" w:lineRule="auto"/>
        <w:ind w:right="808" w:hanging="360"/>
      </w:pPr>
      <w:r>
        <w:t xml:space="preserve">Double-sided print or photocopy the next 2 diagrams ensuring that the lines are exactly 10 cm in length and superimposed </w:t>
      </w:r>
    </w:p>
    <w:p w:rsidR="00945CC7" w:rsidRDefault="00945CC7" w:rsidP="00945CC7">
      <w:pPr>
        <w:numPr>
          <w:ilvl w:val="0"/>
          <w:numId w:val="1"/>
        </w:numPr>
        <w:spacing w:after="5" w:line="249" w:lineRule="auto"/>
        <w:ind w:right="808" w:hanging="360"/>
      </w:pPr>
      <w:r>
        <w:t xml:space="preserve">Laminate the VAS Bedside card for patient use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  <w:ind w:right="712"/>
        <w:jc w:val="right"/>
      </w:pPr>
      <w:r>
        <w:rPr>
          <w:noProof/>
        </w:rPr>
        <w:drawing>
          <wp:inline distT="0" distB="0" distL="0" distR="0" wp14:anchorId="764F2453" wp14:editId="55318BEC">
            <wp:extent cx="6121400" cy="1358900"/>
            <wp:effectExtent l="0" t="0" r="0" b="0"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  <w:ind w:right="712"/>
        <w:jc w:val="right"/>
      </w:pPr>
      <w:r>
        <w:rPr>
          <w:noProof/>
        </w:rPr>
        <w:drawing>
          <wp:inline distT="0" distB="0" distL="0" distR="0" wp14:anchorId="68D1BBAB" wp14:editId="51196E48">
            <wp:extent cx="6121400" cy="1358900"/>
            <wp:effectExtent l="0" t="0" r="0" b="0"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ind w:left="-5" w:right="1385"/>
      </w:pPr>
      <w:r>
        <w:rPr>
          <w:rFonts w:ascii="Verdana" w:eastAsia="Verdana" w:hAnsi="Verdana" w:cs="Verdana"/>
          <w:b/>
          <w:i/>
        </w:rPr>
        <w:t xml:space="preserve">PLEASE NOTE: </w:t>
      </w:r>
      <w:r>
        <w:rPr>
          <w:rFonts w:ascii="Verdana" w:eastAsia="Verdana" w:hAnsi="Verdana" w:cs="Verdana"/>
          <w:b/>
          <w:i/>
        </w:rPr>
        <w:tab/>
      </w:r>
      <w:r>
        <w:t xml:space="preserve">For purposes of double-sided print, the numbers on this   </w:t>
      </w:r>
      <w:r>
        <w:tab/>
        <w:t xml:space="preserve"> </w:t>
      </w:r>
      <w:r>
        <w:tab/>
        <w:t xml:space="preserve"> </w:t>
      </w:r>
      <w:r>
        <w:tab/>
        <w:t xml:space="preserve">scale are reversed.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 w:line="250" w:lineRule="auto"/>
        <w:ind w:right="7502"/>
      </w:pPr>
      <w:r>
        <w:rPr>
          <w:rFonts w:ascii="Verdana" w:eastAsia="Verdana" w:hAnsi="Verdana" w:cs="Verdana"/>
          <w:b/>
          <w:i/>
        </w:rPr>
        <w:t xml:space="preserve">  </w:t>
      </w:r>
      <w:r>
        <w:rPr>
          <w:rFonts w:ascii="Verdana" w:eastAsia="Verdana" w:hAnsi="Verdana" w:cs="Verdana"/>
          <w:b/>
          <w:i/>
        </w:rPr>
        <w:tab/>
        <w:t xml:space="preserve"> </w:t>
      </w:r>
    </w:p>
    <w:p w:rsidR="00945CC7" w:rsidRDefault="00945CC7" w:rsidP="00945CC7">
      <w:pPr>
        <w:spacing w:after="4" w:line="261" w:lineRule="auto"/>
        <w:ind w:left="10"/>
      </w:pPr>
      <w:r>
        <w:rPr>
          <w:rFonts w:ascii="Verdana" w:eastAsia="Verdana" w:hAnsi="Verdana" w:cs="Verdana"/>
          <w:b/>
          <w:i/>
        </w:rPr>
        <w:t xml:space="preserve">OPTION 2 </w:t>
      </w:r>
    </w:p>
    <w:p w:rsidR="00945CC7" w:rsidRDefault="00945CC7" w:rsidP="00945CC7">
      <w:pPr>
        <w:numPr>
          <w:ilvl w:val="0"/>
          <w:numId w:val="1"/>
        </w:numPr>
        <w:spacing w:after="5" w:line="249" w:lineRule="auto"/>
        <w:ind w:right="808" w:hanging="360"/>
      </w:pPr>
      <w:r>
        <w:t xml:space="preserve">Print or photocopy the next 2 diagrams on an A4 sheet ensuring that the lines are exactly 10 cm in length </w:t>
      </w:r>
    </w:p>
    <w:p w:rsidR="00945CC7" w:rsidRDefault="00945CC7" w:rsidP="00945CC7">
      <w:pPr>
        <w:numPr>
          <w:ilvl w:val="0"/>
          <w:numId w:val="1"/>
        </w:numPr>
        <w:spacing w:after="5" w:line="249" w:lineRule="auto"/>
        <w:ind w:right="808" w:hanging="360"/>
      </w:pPr>
      <w:r>
        <w:t xml:space="preserve">Fold at the dotted line </w:t>
      </w:r>
    </w:p>
    <w:p w:rsidR="00945CC7" w:rsidRDefault="00945CC7" w:rsidP="00945CC7">
      <w:pPr>
        <w:numPr>
          <w:ilvl w:val="0"/>
          <w:numId w:val="1"/>
        </w:numPr>
        <w:spacing w:after="5" w:line="249" w:lineRule="auto"/>
        <w:ind w:right="808" w:hanging="360"/>
      </w:pPr>
      <w:r>
        <w:t xml:space="preserve">Do not show the patient the numbered scale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spacing w:after="0"/>
      </w:pPr>
      <w:r>
        <w:lastRenderedPageBreak/>
        <w:t xml:space="preserve"> </w:t>
      </w:r>
    </w:p>
    <w:tbl>
      <w:tblPr>
        <w:tblStyle w:val="TableGrid"/>
        <w:tblW w:w="9858" w:type="dxa"/>
        <w:tblInd w:w="-110" w:type="dxa"/>
        <w:tblCellMar>
          <w:top w:w="57" w:type="dxa"/>
          <w:left w:w="110" w:type="dxa"/>
          <w:bottom w:w="0" w:type="dxa"/>
          <w:right w:w="1" w:type="dxa"/>
        </w:tblCellMar>
        <w:tblLook w:val="04A0" w:firstRow="1" w:lastRow="0" w:firstColumn="1" w:lastColumn="0" w:noHBand="0" w:noVBand="1"/>
      </w:tblPr>
      <w:tblGrid>
        <w:gridCol w:w="9858"/>
      </w:tblGrid>
      <w:tr w:rsidR="00945CC7" w:rsidTr="00B341C4">
        <w:trPr>
          <w:trHeight w:val="2420"/>
        </w:trPr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</w:pPr>
            <w:r>
              <w:rPr>
                <w:rFonts w:ascii="Verdana" w:eastAsia="Verdana" w:hAnsi="Verdana" w:cs="Verdana"/>
                <w:b/>
                <w:i/>
              </w:rPr>
              <w:t xml:space="preserve"> </w:t>
            </w:r>
          </w:p>
          <w:p w:rsidR="00945CC7" w:rsidRDefault="00945CC7" w:rsidP="00B341C4">
            <w:pPr>
              <w:spacing w:line="259" w:lineRule="auto"/>
              <w:jc w:val="right"/>
            </w:pPr>
            <w:r>
              <w:rPr>
                <w:noProof/>
              </w:rPr>
              <w:drawing>
                <wp:inline distT="0" distB="0" distL="0" distR="0" wp14:anchorId="57A88DDB" wp14:editId="7856F242">
                  <wp:extent cx="6121400" cy="1358900"/>
                  <wp:effectExtent l="0" t="0" r="0" b="0"/>
                  <wp:docPr id="396" name="Picture 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Picture 39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1400" cy="135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Verdana" w:hAnsi="Verdana" w:cs="Verdana"/>
                <w:b/>
                <w:i/>
              </w:rPr>
              <w:t xml:space="preserve"> </w:t>
            </w:r>
          </w:p>
        </w:tc>
      </w:tr>
      <w:tr w:rsidR="00945CC7" w:rsidTr="00B341C4">
        <w:trPr>
          <w:trHeight w:val="2415"/>
        </w:trPr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76"/>
              <w:jc w:val="right"/>
            </w:pPr>
            <w:r>
              <w:rPr>
                <w:noProof/>
              </w:rPr>
              <w:drawing>
                <wp:inline distT="0" distB="0" distL="0" distR="0" wp14:anchorId="3A98B6CD" wp14:editId="0FA9B4D0">
                  <wp:extent cx="6121400" cy="1358900"/>
                  <wp:effectExtent l="0" t="0" r="0" b="0"/>
                  <wp:docPr id="398" name="Picture 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Picture 39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1400" cy="135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pStyle w:val="Heading1"/>
        <w:ind w:left="-5"/>
      </w:pPr>
      <w:r>
        <w:t xml:space="preserve">Numerical rating scale (NRS) </w:t>
      </w:r>
    </w:p>
    <w:p w:rsidR="00945CC7" w:rsidRDefault="00945CC7" w:rsidP="00945CC7">
      <w:pPr>
        <w:spacing w:after="0"/>
        <w:ind w:right="748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945CC7" w:rsidRDefault="00945CC7" w:rsidP="00945CC7">
      <w:pPr>
        <w:spacing w:after="0"/>
        <w:ind w:right="2422"/>
        <w:jc w:val="right"/>
      </w:pPr>
      <w:r>
        <w:rPr>
          <w:noProof/>
        </w:rPr>
        <w:drawing>
          <wp:inline distT="0" distB="0" distL="0" distR="0" wp14:anchorId="7C8A36F9" wp14:editId="5D6BDD20">
            <wp:extent cx="3992880" cy="1164590"/>
            <wp:effectExtent l="0" t="0" r="0" b="0"/>
            <wp:docPr id="385" name="Picture 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Picture 38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945CC7" w:rsidRDefault="00945CC7" w:rsidP="00945CC7">
      <w:pPr>
        <w:spacing w:after="0"/>
        <w:ind w:right="745"/>
        <w:jc w:val="center"/>
      </w:pPr>
      <w:r>
        <w:rPr>
          <w:sz w:val="20"/>
        </w:rPr>
        <w:t xml:space="preserve"> </w:t>
      </w:r>
    </w:p>
    <w:p w:rsidR="00945CC7" w:rsidRDefault="00945CC7" w:rsidP="00945CC7">
      <w:pPr>
        <w:spacing w:after="0"/>
        <w:ind w:right="745"/>
        <w:jc w:val="center"/>
      </w:pPr>
      <w:r>
        <w:rPr>
          <w:sz w:val="20"/>
        </w:rPr>
        <w:t xml:space="preserve"> </w:t>
      </w:r>
    </w:p>
    <w:p w:rsidR="00945CC7" w:rsidRDefault="00945CC7" w:rsidP="00945CC7">
      <w:pPr>
        <w:pStyle w:val="Heading1"/>
        <w:ind w:left="-5"/>
      </w:pPr>
      <w:r>
        <w:t xml:space="preserve">Faces rating scale (FRS) </w:t>
      </w:r>
    </w:p>
    <w:p w:rsidR="00945CC7" w:rsidRDefault="00945CC7" w:rsidP="00945CC7">
      <w:pPr>
        <w:spacing w:after="0"/>
        <w:ind w:right="2016"/>
      </w:pPr>
      <w:r>
        <w:rPr>
          <w:sz w:val="20"/>
        </w:rPr>
        <w:t xml:space="preserve"> </w:t>
      </w:r>
    </w:p>
    <w:p w:rsidR="00945CC7" w:rsidRDefault="00945CC7" w:rsidP="00945CC7">
      <w:pPr>
        <w:spacing w:after="0"/>
        <w:ind w:right="1934"/>
        <w:jc w:val="right"/>
      </w:pPr>
      <w:r>
        <w:rPr>
          <w:noProof/>
        </w:rPr>
        <w:drawing>
          <wp:inline distT="0" distB="0" distL="0" distR="0" wp14:anchorId="0E0EF968" wp14:editId="6F82CA05">
            <wp:extent cx="4605655" cy="1371600"/>
            <wp:effectExtent l="0" t="0" r="0" b="0"/>
            <wp:docPr id="393" name="Picture 3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Picture 3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565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45CC7" w:rsidRDefault="00945CC7" w:rsidP="00945CC7">
      <w:pPr>
        <w:pStyle w:val="Heading1"/>
        <w:ind w:left="-5"/>
      </w:pPr>
      <w:r>
        <w:t xml:space="preserve">Behavioral rating scale </w:t>
      </w:r>
    </w:p>
    <w:p w:rsidR="00945CC7" w:rsidRDefault="00945CC7" w:rsidP="00945CC7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945CC7" w:rsidRDefault="00945CC7" w:rsidP="00945CC7">
      <w:pPr>
        <w:spacing w:after="1735" w:line="216" w:lineRule="auto"/>
        <w:ind w:left="10" w:right="14"/>
      </w:pPr>
      <w:r>
        <w:rPr>
          <w:rFonts w:ascii="Arial" w:eastAsia="Arial" w:hAnsi="Arial" w:cs="Arial"/>
          <w:sz w:val="20"/>
        </w:rPr>
        <w:t xml:space="preserve">For patients unable to provide a self-report of pain: scored 0-10 clinical observation </w:t>
      </w:r>
    </w:p>
    <w:tbl>
      <w:tblPr>
        <w:tblStyle w:val="TableGrid"/>
        <w:tblpPr w:vertAnchor="text" w:tblpX="-110" w:tblpY="-1728"/>
        <w:tblOverlap w:val="never"/>
        <w:tblW w:w="8447" w:type="dxa"/>
        <w:tblInd w:w="0" w:type="dxa"/>
        <w:tblCellMar>
          <w:top w:w="0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551"/>
        <w:gridCol w:w="1623"/>
        <w:gridCol w:w="1619"/>
        <w:gridCol w:w="2160"/>
        <w:gridCol w:w="1494"/>
      </w:tblGrid>
      <w:tr w:rsidR="00945CC7" w:rsidTr="00B341C4">
        <w:trPr>
          <w:trHeight w:val="927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Face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 w:right="204" w:firstLine="644"/>
            </w:pPr>
            <w:r>
              <w:rPr>
                <w:rFonts w:ascii="Arial" w:eastAsia="Arial" w:hAnsi="Arial" w:cs="Arial"/>
                <w:b/>
                <w:sz w:val="20"/>
              </w:rPr>
              <w:t xml:space="preserve">0 </w:t>
            </w:r>
            <w:r>
              <w:rPr>
                <w:rFonts w:ascii="Arial" w:eastAsia="Arial" w:hAnsi="Arial" w:cs="Arial"/>
                <w:sz w:val="20"/>
              </w:rPr>
              <w:t xml:space="preserve">Face muscles relaxed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119" w:firstLine="644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  <w:r>
              <w:rPr>
                <w:rFonts w:ascii="Arial" w:eastAsia="Arial" w:hAnsi="Arial" w:cs="Arial"/>
                <w:sz w:val="20"/>
              </w:rPr>
              <w:t xml:space="preserve">Facial muscle tension, frown, grimace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4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sz w:val="20"/>
              </w:rPr>
              <w:t xml:space="preserve">Frequent to constant frown, clenched jaw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Face score: </w:t>
            </w:r>
          </w:p>
        </w:tc>
      </w:tr>
      <w:tr w:rsidR="00945CC7" w:rsidTr="00B341C4">
        <w:trPr>
          <w:trHeight w:val="1162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Restlessness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 w:right="55" w:firstLine="644"/>
            </w:pPr>
            <w:r>
              <w:rPr>
                <w:rFonts w:ascii="Arial" w:eastAsia="Arial" w:hAnsi="Arial" w:cs="Arial"/>
                <w:b/>
                <w:sz w:val="20"/>
              </w:rPr>
              <w:t xml:space="preserve">0 </w:t>
            </w:r>
            <w:r>
              <w:rPr>
                <w:rFonts w:ascii="Arial" w:eastAsia="Arial" w:hAnsi="Arial" w:cs="Arial"/>
                <w:sz w:val="20"/>
              </w:rPr>
              <w:t xml:space="preserve">Quiet, relaxed appearance, normal movement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41" w:lineRule="auto"/>
              <w:ind w:firstLine="644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  <w:r>
              <w:rPr>
                <w:rFonts w:ascii="Arial" w:eastAsia="Arial" w:hAnsi="Arial" w:cs="Arial"/>
                <w:sz w:val="20"/>
              </w:rPr>
              <w:t xml:space="preserve">Occasional restless </w:t>
            </w:r>
          </w:p>
          <w:p w:rsidR="00945CC7" w:rsidRDefault="00945CC7" w:rsidP="00B341C4">
            <w:pPr>
              <w:spacing w:line="259" w:lineRule="auto"/>
            </w:pPr>
            <w:r>
              <w:rPr>
                <w:rFonts w:ascii="Arial" w:eastAsia="Arial" w:hAnsi="Arial" w:cs="Arial"/>
                <w:sz w:val="20"/>
              </w:rPr>
              <w:t xml:space="preserve">movement, </w:t>
            </w:r>
          </w:p>
          <w:p w:rsidR="00945CC7" w:rsidRDefault="00945CC7" w:rsidP="00B341C4">
            <w:pPr>
              <w:spacing w:line="259" w:lineRule="auto"/>
            </w:pPr>
            <w:r>
              <w:rPr>
                <w:rFonts w:ascii="Arial" w:eastAsia="Arial" w:hAnsi="Arial" w:cs="Arial"/>
                <w:sz w:val="20"/>
              </w:rPr>
              <w:t xml:space="preserve">shifting position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4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  <w:p w:rsidR="00945CC7" w:rsidRDefault="00945CC7" w:rsidP="00B341C4">
            <w:pPr>
              <w:spacing w:line="239" w:lineRule="auto"/>
              <w:ind w:left="5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Frequent restless movement may </w:t>
            </w:r>
          </w:p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sz w:val="20"/>
              </w:rPr>
              <w:t xml:space="preserve">include extremities or head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Restlessness score: </w:t>
            </w:r>
          </w:p>
        </w:tc>
      </w:tr>
      <w:tr w:rsidR="00945CC7" w:rsidTr="00B341C4">
        <w:trPr>
          <w:trHeight w:val="1162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Muscle tone*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 w:right="8" w:firstLine="644"/>
            </w:pPr>
            <w:r>
              <w:rPr>
                <w:rFonts w:ascii="Arial" w:eastAsia="Arial" w:hAnsi="Arial" w:cs="Arial"/>
                <w:b/>
                <w:sz w:val="20"/>
              </w:rPr>
              <w:t xml:space="preserve">0 </w:t>
            </w:r>
            <w:r>
              <w:rPr>
                <w:rFonts w:ascii="Arial" w:eastAsia="Arial" w:hAnsi="Arial" w:cs="Arial"/>
                <w:sz w:val="20"/>
              </w:rPr>
              <w:t xml:space="preserve">Normal muscle tone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6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  <w:p w:rsidR="00945CC7" w:rsidRDefault="00945CC7" w:rsidP="00B341C4">
            <w:pPr>
              <w:spacing w:line="259" w:lineRule="auto"/>
              <w:ind w:right="39"/>
            </w:pPr>
            <w:r>
              <w:rPr>
                <w:rFonts w:ascii="Arial" w:eastAsia="Arial" w:hAnsi="Arial" w:cs="Arial"/>
                <w:sz w:val="20"/>
              </w:rPr>
              <w:t xml:space="preserve">Increased tone, flexion of fingers and toes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 w:right="454" w:firstLine="917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  <w:r>
              <w:rPr>
                <w:rFonts w:ascii="Arial" w:eastAsia="Arial" w:hAnsi="Arial" w:cs="Arial"/>
                <w:sz w:val="20"/>
              </w:rPr>
              <w:t xml:space="preserve">Rigid tone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>Muscle tone score: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45CC7" w:rsidTr="00B341C4">
        <w:trPr>
          <w:trHeight w:val="1157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Vocalization**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 w:right="314" w:firstLine="644"/>
            </w:pPr>
            <w:r>
              <w:rPr>
                <w:rFonts w:ascii="Arial" w:eastAsia="Arial" w:hAnsi="Arial" w:cs="Arial"/>
                <w:b/>
                <w:sz w:val="20"/>
              </w:rPr>
              <w:t xml:space="preserve">0 </w:t>
            </w:r>
            <w:r>
              <w:rPr>
                <w:rFonts w:ascii="Arial" w:eastAsia="Arial" w:hAnsi="Arial" w:cs="Arial"/>
                <w:sz w:val="20"/>
              </w:rPr>
              <w:t xml:space="preserve">No abnormal sounds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218" w:firstLine="644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  <w:r>
              <w:rPr>
                <w:rFonts w:ascii="Arial" w:eastAsia="Arial" w:hAnsi="Arial" w:cs="Arial"/>
                <w:sz w:val="20"/>
              </w:rPr>
              <w:t xml:space="preserve">Occasional moans, cries, whimpers and grunts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 w:right="322" w:firstLine="917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  <w:r>
              <w:rPr>
                <w:rFonts w:ascii="Arial" w:eastAsia="Arial" w:hAnsi="Arial" w:cs="Arial"/>
                <w:sz w:val="20"/>
              </w:rPr>
              <w:t xml:space="preserve">Frequent or continuous moans, cries, whimpers or grunts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>Vocalization score: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45CC7" w:rsidTr="00B341C4">
        <w:trPr>
          <w:trHeight w:val="931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Consolability</w:t>
            </w:r>
            <w:proofErr w:type="spellEnd"/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 w:firstLine="644"/>
            </w:pPr>
            <w:r>
              <w:rPr>
                <w:rFonts w:ascii="Arial" w:eastAsia="Arial" w:hAnsi="Arial" w:cs="Arial"/>
                <w:b/>
                <w:sz w:val="20"/>
              </w:rPr>
              <w:t xml:space="preserve">0 </w:t>
            </w:r>
            <w:r>
              <w:rPr>
                <w:rFonts w:ascii="Arial" w:eastAsia="Arial" w:hAnsi="Arial" w:cs="Arial"/>
                <w:sz w:val="20"/>
              </w:rPr>
              <w:t xml:space="preserve">Content, relaxed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6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  <w:p w:rsidR="00945CC7" w:rsidRDefault="00945CC7" w:rsidP="00B341C4">
            <w:pPr>
              <w:tabs>
                <w:tab w:val="right" w:pos="1463"/>
              </w:tabs>
              <w:spacing w:line="259" w:lineRule="auto"/>
            </w:pPr>
            <w:r>
              <w:rPr>
                <w:rFonts w:ascii="Arial" w:eastAsia="Arial" w:hAnsi="Arial" w:cs="Arial"/>
                <w:sz w:val="20"/>
              </w:rPr>
              <w:t xml:space="preserve">Reassured </w:t>
            </w:r>
            <w:r>
              <w:rPr>
                <w:rFonts w:ascii="Arial" w:eastAsia="Arial" w:hAnsi="Arial" w:cs="Arial"/>
                <w:sz w:val="20"/>
              </w:rPr>
              <w:tab/>
              <w:t xml:space="preserve">by </w:t>
            </w:r>
          </w:p>
          <w:p w:rsidR="00945CC7" w:rsidRDefault="00945CC7" w:rsidP="00B341C4">
            <w:pPr>
              <w:spacing w:line="259" w:lineRule="auto"/>
            </w:pPr>
            <w:r>
              <w:rPr>
                <w:rFonts w:ascii="Arial" w:eastAsia="Arial" w:hAnsi="Arial" w:cs="Arial"/>
                <w:sz w:val="20"/>
              </w:rPr>
              <w:t xml:space="preserve">touch, distractible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49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  <w:p w:rsidR="00945CC7" w:rsidRDefault="00945CC7" w:rsidP="00B341C4">
            <w:pPr>
              <w:spacing w:line="259" w:lineRule="auto"/>
              <w:ind w:left="5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Difficult to comfort by touch or talk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left="5"/>
            </w:pP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Consolability</w:t>
            </w:r>
            <w:proofErr w:type="spellEnd"/>
            <w:r>
              <w:rPr>
                <w:rFonts w:ascii="Arial" w:eastAsia="Arial" w:hAnsi="Arial" w:cs="Arial"/>
                <w:b/>
                <w:sz w:val="20"/>
              </w:rPr>
              <w:t xml:space="preserve"> score: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45CC7" w:rsidTr="00B341C4">
        <w:trPr>
          <w:trHeight w:val="240"/>
        </w:trPr>
        <w:tc>
          <w:tcPr>
            <w:tcW w:w="4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CC7" w:rsidRDefault="00945CC7" w:rsidP="00B341C4">
            <w:pPr>
              <w:spacing w:line="259" w:lineRule="auto"/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Behavioral pain assessment scale total (0-10)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5CC7" w:rsidRDefault="00945CC7" w:rsidP="00B341C4">
            <w:pPr>
              <w:spacing w:after="160" w:line="259" w:lineRule="auto"/>
            </w:pPr>
          </w:p>
        </w:tc>
        <w:tc>
          <w:tcPr>
            <w:tcW w:w="1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5CC7" w:rsidRDefault="00945CC7" w:rsidP="00B341C4">
            <w:pPr>
              <w:spacing w:line="259" w:lineRule="auto"/>
              <w:ind w:right="54"/>
              <w:jc w:val="right"/>
            </w:pPr>
            <w:r>
              <w:rPr>
                <w:rFonts w:ascii="Arial" w:eastAsia="Arial" w:hAnsi="Arial" w:cs="Arial"/>
                <w:b/>
                <w:sz w:val="20"/>
              </w:rPr>
              <w:t xml:space="preserve">/10 </w:t>
            </w:r>
          </w:p>
        </w:tc>
      </w:tr>
    </w:tbl>
    <w:p w:rsidR="00945CC7" w:rsidRDefault="00945CC7" w:rsidP="00945CC7">
      <w:pPr>
        <w:spacing w:after="4" w:line="261" w:lineRule="auto"/>
        <w:ind w:left="10"/>
      </w:pPr>
      <w:r>
        <w:rPr>
          <w:rFonts w:ascii="Verdana" w:eastAsia="Verdana" w:hAnsi="Verdana" w:cs="Verdana"/>
          <w:b/>
          <w:i/>
        </w:rPr>
        <w:t>Functional activity score</w:t>
      </w:r>
      <w:r>
        <w:rPr>
          <w:rFonts w:ascii="Verdana" w:eastAsia="Verdana" w:hAnsi="Verdana" w:cs="Verdana"/>
          <w:b/>
          <w:i/>
          <w:vertAlign w:val="superscript"/>
        </w:rPr>
        <w:t>#</w:t>
      </w:r>
      <w:r>
        <w:rPr>
          <w:rFonts w:ascii="Verdana" w:eastAsia="Verdana" w:hAnsi="Verdana" w:cs="Verdana"/>
          <w:b/>
          <w:i/>
        </w:rPr>
        <w:t xml:space="preserve"> </w:t>
      </w:r>
      <w:r>
        <w:rPr>
          <w:rFonts w:ascii="Arial" w:eastAsia="Arial" w:hAnsi="Arial" w:cs="Arial"/>
          <w:sz w:val="20"/>
          <w:u w:val="single" w:color="000000"/>
        </w:rPr>
        <w:t>(</w:t>
      </w:r>
      <w:r>
        <w:rPr>
          <w:rFonts w:ascii="Arial" w:eastAsia="Arial" w:hAnsi="Arial" w:cs="Arial"/>
          <w:sz w:val="20"/>
        </w:rPr>
        <w:t>Cough/movement</w:t>
      </w:r>
      <w:r>
        <w:rPr>
          <w:rFonts w:ascii="Arial" w:eastAsia="Arial" w:hAnsi="Arial" w:cs="Arial"/>
          <w:sz w:val="20"/>
          <w:u w:val="single" w:color="000000"/>
        </w:rPr>
        <w:t>)</w:t>
      </w:r>
      <w:r>
        <w:rPr>
          <w:rFonts w:ascii="Arial" w:eastAsia="Arial" w:hAnsi="Arial" w:cs="Arial"/>
          <w:sz w:val="20"/>
        </w:rPr>
        <w:t xml:space="preserve"> </w:t>
      </w:r>
    </w:p>
    <w:p w:rsidR="00945CC7" w:rsidRDefault="00945CC7" w:rsidP="00945CC7">
      <w:pPr>
        <w:numPr>
          <w:ilvl w:val="0"/>
          <w:numId w:val="2"/>
        </w:numPr>
        <w:spacing w:after="0"/>
        <w:ind w:right="201" w:hanging="192"/>
      </w:pPr>
      <w:r>
        <w:rPr>
          <w:rFonts w:ascii="Arial" w:eastAsia="Arial" w:hAnsi="Arial" w:cs="Arial"/>
          <w:sz w:val="20"/>
        </w:rPr>
        <w:t xml:space="preserve">– No limitation </w:t>
      </w:r>
    </w:p>
    <w:p w:rsidR="00945CC7" w:rsidRDefault="00945CC7" w:rsidP="00945CC7">
      <w:pPr>
        <w:numPr>
          <w:ilvl w:val="0"/>
          <w:numId w:val="2"/>
        </w:numPr>
        <w:spacing w:after="21" w:line="216" w:lineRule="auto"/>
        <w:ind w:right="201" w:hanging="192"/>
      </w:pPr>
      <w:r>
        <w:rPr>
          <w:rFonts w:ascii="Arial" w:eastAsia="Arial" w:hAnsi="Arial" w:cs="Arial"/>
          <w:sz w:val="20"/>
        </w:rPr>
        <w:t xml:space="preserve">– Mild limitation C – Severe limitation </w:t>
      </w:r>
    </w:p>
    <w:p w:rsidR="00945CC7" w:rsidRDefault="00945CC7" w:rsidP="00945CC7">
      <w:pPr>
        <w:spacing w:after="2233" w:line="216" w:lineRule="auto"/>
        <w:ind w:left="72" w:right="14" w:hanging="72"/>
      </w:pPr>
      <w:r>
        <w:rPr>
          <w:rFonts w:ascii="Arial" w:eastAsia="Arial" w:hAnsi="Arial" w:cs="Arial"/>
          <w:sz w:val="13"/>
        </w:rPr>
        <w:t xml:space="preserve"># </w:t>
      </w:r>
      <w:r>
        <w:rPr>
          <w:rFonts w:ascii="Arial" w:eastAsia="Arial" w:hAnsi="Arial" w:cs="Arial"/>
          <w:sz w:val="20"/>
        </w:rPr>
        <w:t>Relative to baseline</w:t>
      </w:r>
      <w:r>
        <w:rPr>
          <w:sz w:val="20"/>
        </w:rPr>
        <w:t xml:space="preserve"> </w:t>
      </w:r>
    </w:p>
    <w:p w:rsidR="00945CC7" w:rsidRDefault="00945CC7" w:rsidP="00945CC7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945CC7" w:rsidRDefault="00945CC7" w:rsidP="00945CC7">
      <w:pPr>
        <w:spacing w:after="0"/>
      </w:pPr>
      <w:r>
        <w:rPr>
          <w:sz w:val="20"/>
        </w:rPr>
        <w:t xml:space="preserve"> </w:t>
      </w:r>
    </w:p>
    <w:p w:rsidR="00945CC7" w:rsidRDefault="00945CC7" w:rsidP="00945CC7">
      <w:pPr>
        <w:spacing w:line="235" w:lineRule="auto"/>
        <w:ind w:left="-5" w:right="100"/>
      </w:pPr>
      <w:r>
        <w:rPr>
          <w:sz w:val="20"/>
        </w:rPr>
        <w:t xml:space="preserve">* Assess muscle tone in patients with spinal cord lesion or injury at a level above the lesion injury. Assess patients with hemiplegia on the unaffected side. </w:t>
      </w:r>
    </w:p>
    <w:p w:rsidR="00945CC7" w:rsidRDefault="00945CC7" w:rsidP="00945CC7">
      <w:pPr>
        <w:spacing w:line="235" w:lineRule="auto"/>
        <w:ind w:left="-5" w:right="100"/>
      </w:pPr>
      <w:r>
        <w:rPr>
          <w:sz w:val="20"/>
        </w:rPr>
        <w:t xml:space="preserve">** This item cannot be measured in patients with artificial airways. </w:t>
      </w:r>
    </w:p>
    <w:p w:rsidR="00945CC7" w:rsidRDefault="00945CC7" w:rsidP="00945CC7">
      <w:pPr>
        <w:spacing w:after="0"/>
        <w:ind w:right="748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945CC7" w:rsidRDefault="00945CC7" w:rsidP="00945CC7">
      <w:pPr>
        <w:spacing w:after="0"/>
        <w:ind w:right="1110"/>
        <w:jc w:val="center"/>
      </w:pPr>
      <w:r>
        <w:rPr>
          <w:sz w:val="20"/>
        </w:rPr>
        <w:t xml:space="preserve"> </w:t>
      </w:r>
    </w:p>
    <w:p w:rsidR="00945CC7" w:rsidRDefault="00945CC7" w:rsidP="00945CC7">
      <w:pPr>
        <w:spacing w:after="0"/>
        <w:ind w:left="5443"/>
        <w:jc w:val="center"/>
      </w:pPr>
      <w:r>
        <w:rPr>
          <w:sz w:val="16"/>
        </w:rPr>
        <w:t xml:space="preserve"> </w:t>
      </w:r>
    </w:p>
    <w:p w:rsidR="00945CC7" w:rsidRDefault="00945CC7" w:rsidP="00945CC7">
      <w:pPr>
        <w:pStyle w:val="Heading1"/>
        <w:ind w:left="0" w:right="1182" w:firstLine="0"/>
        <w:jc w:val="center"/>
      </w:pPr>
      <w:r>
        <w:rPr>
          <w:sz w:val="24"/>
        </w:rPr>
        <w:t>Pain</w:t>
      </w:r>
      <w:r>
        <w:rPr>
          <w:sz w:val="28"/>
        </w:rPr>
        <w:t xml:space="preserve"> </w:t>
      </w:r>
      <w:r>
        <w:rPr>
          <w:sz w:val="24"/>
        </w:rPr>
        <w:t>rating scales instructions</w:t>
      </w:r>
      <w:r>
        <w:rPr>
          <w:sz w:val="28"/>
        </w:rPr>
        <w:t xml:space="preserve"> </w:t>
      </w:r>
    </w:p>
    <w:p w:rsidR="00945CC7" w:rsidRDefault="00945CC7" w:rsidP="00945CC7">
      <w:pPr>
        <w:spacing w:after="47"/>
        <w:ind w:left="-389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078D0759" wp14:editId="485F999A">
                <wp:extent cx="6387973" cy="6096"/>
                <wp:effectExtent l="0" t="0" r="0" b="0"/>
                <wp:docPr id="5024" name="Group 5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7973" cy="6096"/>
                          <a:chOff x="0" y="0"/>
                          <a:chExt cx="6387973" cy="6096"/>
                        </a:xfrm>
                      </wpg:grpSpPr>
                      <wps:wsp>
                        <wps:cNvPr id="6445" name="Shape 6445"/>
                        <wps:cNvSpPr/>
                        <wps:spPr>
                          <a:xfrm>
                            <a:off x="0" y="0"/>
                            <a:ext cx="638797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7973" h="9144">
                                <a:moveTo>
                                  <a:pt x="0" y="0"/>
                                </a:moveTo>
                                <a:lnTo>
                                  <a:pt x="6387973" y="0"/>
                                </a:lnTo>
                                <a:lnTo>
                                  <a:pt x="638797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841418" id="Group 5024" o:spid="_x0000_s1026" style="width:503pt;height:.5pt;mso-position-horizontal-relative:char;mso-position-vertical-relative:line" coordsize="6387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">
                <v:shape id="Shape 6445" o:spid="_x0000_s1027" style="position:absolute;width:63879;height:91;visibility:visible;mso-wrap-style:square;v-text-anchor:top" coordsize="638797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" path="m,l6387973,r,9144l,9144,,e" fillcolor="black" stroked="f" strokeweight="0">
                  <v:stroke miterlimit="83231f" joinstyle="miter"/>
                  <v:path arrowok="t" textboxrect="0,0,6387973,9144"/>
                </v:shape>
                <w10:anchorlock/>
              </v:group>
            </w:pict>
          </mc:Fallback>
        </mc:AlternateConten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945CC7" w:rsidRDefault="00945CC7" w:rsidP="00945CC7">
      <w:pPr>
        <w:pStyle w:val="Heading2"/>
        <w:ind w:left="-5"/>
      </w:pPr>
      <w:r>
        <w:t xml:space="preserve">Subjective pain score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</w:rPr>
        <w:t xml:space="preserve"> </w:t>
      </w:r>
    </w:p>
    <w:p w:rsidR="00945CC7" w:rsidRDefault="00945CC7" w:rsidP="00945CC7">
      <w:pPr>
        <w:ind w:left="-5" w:right="808"/>
      </w:pPr>
      <w:r>
        <w:t xml:space="preserve">All patients are to have a functional activity score recorded in addition to the chosen subjective score.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pStyle w:val="Heading2"/>
        <w:ind w:left="-5"/>
      </w:pPr>
      <w:r>
        <w:t xml:space="preserve">Visual analogue scale (VAS)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i/>
        </w:rPr>
        <w:t xml:space="preserve"> </w:t>
      </w:r>
    </w:p>
    <w:p w:rsidR="00945CC7" w:rsidRDefault="00945CC7" w:rsidP="00945CC7">
      <w:pPr>
        <w:ind w:left="-5" w:right="808"/>
      </w:pPr>
      <w:r>
        <w:t xml:space="preserve">Instruct the patient to point to the position on the line between the faces to indicate how much pain they are currently feeling.  The </w:t>
      </w:r>
      <w:proofErr w:type="gramStart"/>
      <w:r>
        <w:t>far left</w:t>
      </w:r>
      <w:proofErr w:type="gramEnd"/>
      <w:r>
        <w:t xml:space="preserve"> end indicates "no pain" and the far right end indicates "worst pain ever."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pStyle w:val="Heading2"/>
        <w:ind w:left="-5"/>
      </w:pPr>
      <w:r>
        <w:t xml:space="preserve">Numerical rating scale (NRS)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</w:rPr>
        <w:t xml:space="preserve"> </w:t>
      </w:r>
    </w:p>
    <w:p w:rsidR="00945CC7" w:rsidRDefault="00945CC7" w:rsidP="00945CC7">
      <w:pPr>
        <w:ind w:left="-5" w:right="808"/>
      </w:pPr>
      <w:r>
        <w:t xml:space="preserve">Instruct the patient to choose a number from 0 to 10 that best describes their current pain.  0 would mean "no pain" and 10 would mean "worst possible pain."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pStyle w:val="Heading2"/>
        <w:ind w:left="-5"/>
      </w:pPr>
      <w:r>
        <w:t xml:space="preserve">Faces rating scale (FRS)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  <w:i/>
        </w:rPr>
        <w:t xml:space="preserve"> </w:t>
      </w:r>
    </w:p>
    <w:p w:rsidR="00945CC7" w:rsidRDefault="00945CC7" w:rsidP="00945CC7">
      <w:pPr>
        <w:ind w:left="-5" w:right="808"/>
      </w:pPr>
      <w:r>
        <w:t xml:space="preserve">Adults who have difficulty using the numbers on the visual/numerical rating scales can be assisted with the use of the 6 facial expressions suggesting various pain intensities. Ask the patient to choose the face that best describes how they feel. The </w:t>
      </w:r>
      <w:proofErr w:type="gramStart"/>
      <w:r>
        <w:t>far left</w:t>
      </w:r>
      <w:proofErr w:type="gramEnd"/>
      <w:r>
        <w:t xml:space="preserve"> face indicates "no hurt" and the far right face indicates "hurts worst." Document number below the face chosen.</w:t>
      </w:r>
      <w:r>
        <w:rPr>
          <w:rFonts w:ascii="Verdana" w:eastAsia="Verdana" w:hAnsi="Verdana" w:cs="Verdana"/>
          <w:b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</w:rPr>
        <w:t xml:space="preserve">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</w:rPr>
        <w:t xml:space="preserve"> </w:t>
      </w:r>
    </w:p>
    <w:p w:rsidR="00945CC7" w:rsidRDefault="00945CC7" w:rsidP="00945CC7">
      <w:pPr>
        <w:pStyle w:val="Heading2"/>
        <w:ind w:left="-5"/>
      </w:pPr>
      <w:r>
        <w:t xml:space="preserve">Behavioral rating scale </w:t>
      </w:r>
    </w:p>
    <w:p w:rsidR="00945CC7" w:rsidRDefault="00945CC7" w:rsidP="00945CC7">
      <w:pPr>
        <w:spacing w:after="0"/>
      </w:pPr>
      <w:r>
        <w:rPr>
          <w:rFonts w:ascii="Verdana" w:eastAsia="Verdana" w:hAnsi="Verdana" w:cs="Verdana"/>
          <w:b/>
        </w:rPr>
        <w:t xml:space="preserve"> </w:t>
      </w:r>
    </w:p>
    <w:p w:rsidR="00945CC7" w:rsidRDefault="00945CC7" w:rsidP="00945CC7">
      <w:pPr>
        <w:ind w:left="-5" w:right="808"/>
      </w:pPr>
      <w:r>
        <w:t xml:space="preserve">The behavioral pain assessment scale is designed for use with nonverbal patients unable to provide self-reports of pain. </w:t>
      </w:r>
    </w:p>
    <w:p w:rsidR="00945CC7" w:rsidRDefault="00945CC7" w:rsidP="00945CC7">
      <w:pPr>
        <w:spacing w:after="10"/>
      </w:pPr>
      <w:r>
        <w:t xml:space="preserve"> </w:t>
      </w:r>
    </w:p>
    <w:p w:rsidR="00945CC7" w:rsidRDefault="00945CC7" w:rsidP="00945CC7">
      <w:pPr>
        <w:numPr>
          <w:ilvl w:val="0"/>
          <w:numId w:val="3"/>
        </w:numPr>
        <w:spacing w:after="5" w:line="249" w:lineRule="auto"/>
        <w:ind w:right="808" w:hanging="711"/>
      </w:pPr>
      <w:r>
        <w:t xml:space="preserve">Rate each of the 5 measurement categories (0, 1, or 2). </w:t>
      </w:r>
    </w:p>
    <w:p w:rsidR="00945CC7" w:rsidRDefault="00945CC7" w:rsidP="00945CC7">
      <w:pPr>
        <w:numPr>
          <w:ilvl w:val="0"/>
          <w:numId w:val="3"/>
        </w:numPr>
        <w:spacing w:after="5" w:line="249" w:lineRule="auto"/>
        <w:ind w:right="808" w:hanging="711"/>
      </w:pPr>
      <w:r>
        <w:t xml:space="preserve">Add these together. </w:t>
      </w:r>
    </w:p>
    <w:p w:rsidR="00945CC7" w:rsidRDefault="00945CC7" w:rsidP="00945CC7">
      <w:pPr>
        <w:numPr>
          <w:ilvl w:val="0"/>
          <w:numId w:val="3"/>
        </w:numPr>
        <w:spacing w:after="5" w:line="249" w:lineRule="auto"/>
        <w:ind w:right="808" w:hanging="711"/>
      </w:pPr>
      <w:r>
        <w:t xml:space="preserve">Document the total pain score out of 10.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pStyle w:val="Heading2"/>
        <w:ind w:left="-5"/>
      </w:pPr>
      <w:r>
        <w:t xml:space="preserve">Functional activity score </w:t>
      </w:r>
    </w:p>
    <w:p w:rsidR="00945CC7" w:rsidRDefault="00945CC7" w:rsidP="00945CC7">
      <w:pPr>
        <w:ind w:left="-5" w:right="808"/>
      </w:pPr>
      <w:r>
        <w:t xml:space="preserve">This is an activity-related score. Ask your patient to perform an activity related to their painful area (for example, deep </w:t>
      </w:r>
      <w:proofErr w:type="spellStart"/>
      <w:r>
        <w:t>breathe</w:t>
      </w:r>
      <w:proofErr w:type="spellEnd"/>
      <w:r>
        <w:t xml:space="preserve"> and cough for thoracic injury or move affected leg for lower limb pain).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ind w:left="-5" w:right="808"/>
      </w:pPr>
      <w:r>
        <w:t xml:space="preserve">Observe your patient during the chosen activity and score A, B, or C.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numPr>
          <w:ilvl w:val="0"/>
          <w:numId w:val="4"/>
        </w:numPr>
        <w:spacing w:after="5" w:line="249" w:lineRule="auto"/>
        <w:ind w:right="808" w:hanging="226"/>
      </w:pPr>
      <w:r>
        <w:t xml:space="preserve">– No limitation meaning the patient’s activity is unrestricted by pain </w:t>
      </w:r>
    </w:p>
    <w:p w:rsidR="00945CC7" w:rsidRDefault="00945CC7" w:rsidP="00945CC7">
      <w:pPr>
        <w:numPr>
          <w:ilvl w:val="0"/>
          <w:numId w:val="4"/>
        </w:numPr>
        <w:spacing w:after="5" w:line="249" w:lineRule="auto"/>
        <w:ind w:right="808" w:hanging="226"/>
      </w:pPr>
      <w:r>
        <w:t xml:space="preserve">– Mild limitation means the patient’s activity is mild to moderately restricted by pain C - Severe limitation means the patient ability to perform the activity is severely limited by pain   </w:t>
      </w:r>
    </w:p>
    <w:p w:rsidR="00945CC7" w:rsidRDefault="00945CC7" w:rsidP="00945CC7">
      <w:pPr>
        <w:spacing w:after="0"/>
      </w:pPr>
      <w:r>
        <w:t xml:space="preserve"> </w:t>
      </w:r>
    </w:p>
    <w:p w:rsidR="00945CC7" w:rsidRDefault="00945CC7" w:rsidP="00945CC7">
      <w:pPr>
        <w:ind w:left="-5" w:right="808"/>
      </w:pPr>
      <w:r>
        <w:t xml:space="preserve">*Relative to baseline refers to any restriction above any preexisting condition the patient may already have. </w:t>
      </w:r>
    </w:p>
    <w:p w:rsidR="00945CC7" w:rsidRDefault="00945CC7">
      <w:bookmarkStart w:id="0" w:name="_GoBack"/>
      <w:bookmarkEnd w:id="0"/>
    </w:p>
    <w:sectPr w:rsidR="00945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1B8"/>
    <w:multiLevelType w:val="hybridMultilevel"/>
    <w:tmpl w:val="CD409A0A"/>
    <w:lvl w:ilvl="0" w:tplc="D8CA41EC">
      <w:start w:val="1"/>
      <w:numFmt w:val="upperLetter"/>
      <w:lvlText w:val="%1"/>
      <w:lvlJc w:val="left"/>
      <w:pPr>
        <w:ind w:left="2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0631D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F24A2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4A8A2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E40D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D6FE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28420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E27F8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0294B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7A2930"/>
    <w:multiLevelType w:val="hybridMultilevel"/>
    <w:tmpl w:val="B7B2C5A2"/>
    <w:lvl w:ilvl="0" w:tplc="57744E38">
      <w:start w:val="1"/>
      <w:numFmt w:val="upperLetter"/>
      <w:lvlText w:val="%1"/>
      <w:lvlJc w:val="left"/>
      <w:pPr>
        <w:ind w:left="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A2A86E">
      <w:start w:val="1"/>
      <w:numFmt w:val="lowerLetter"/>
      <w:lvlText w:val="%2"/>
      <w:lvlJc w:val="left"/>
      <w:pPr>
        <w:ind w:left="9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46BE4E">
      <w:start w:val="1"/>
      <w:numFmt w:val="lowerRoman"/>
      <w:lvlText w:val="%3"/>
      <w:lvlJc w:val="left"/>
      <w:pPr>
        <w:ind w:left="10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502A96">
      <w:start w:val="1"/>
      <w:numFmt w:val="decimal"/>
      <w:lvlText w:val="%4"/>
      <w:lvlJc w:val="left"/>
      <w:pPr>
        <w:ind w:left="11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2BFA4">
      <w:start w:val="1"/>
      <w:numFmt w:val="lowerLetter"/>
      <w:lvlText w:val="%5"/>
      <w:lvlJc w:val="left"/>
      <w:pPr>
        <w:ind w:left="11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9AAAA6">
      <w:start w:val="1"/>
      <w:numFmt w:val="lowerRoman"/>
      <w:lvlText w:val="%6"/>
      <w:lvlJc w:val="left"/>
      <w:pPr>
        <w:ind w:left="12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9A5D92">
      <w:start w:val="1"/>
      <w:numFmt w:val="decimal"/>
      <w:lvlText w:val="%7"/>
      <w:lvlJc w:val="left"/>
      <w:pPr>
        <w:ind w:left="13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4ACB10">
      <w:start w:val="1"/>
      <w:numFmt w:val="lowerLetter"/>
      <w:lvlText w:val="%8"/>
      <w:lvlJc w:val="left"/>
      <w:pPr>
        <w:ind w:left="14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C6ACE0">
      <w:start w:val="1"/>
      <w:numFmt w:val="lowerRoman"/>
      <w:lvlText w:val="%9"/>
      <w:lvlJc w:val="left"/>
      <w:pPr>
        <w:ind w:left="14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F2266B"/>
    <w:multiLevelType w:val="hybridMultilevel"/>
    <w:tmpl w:val="10528782"/>
    <w:lvl w:ilvl="0" w:tplc="F76C70B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699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A688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3CD4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24063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62DA3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E830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E4F8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FCB04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270F67"/>
    <w:multiLevelType w:val="hybridMultilevel"/>
    <w:tmpl w:val="0C30E3F0"/>
    <w:lvl w:ilvl="0" w:tplc="FB745334">
      <w:start w:val="1"/>
      <w:numFmt w:val="bullet"/>
      <w:lvlText w:val="•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06D4C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0C7D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D47AE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EB5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44E6F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F6AB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F09F7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DE493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CC7"/>
    <w:rsid w:val="0094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3269FD-86BC-4B14-868F-CEDD96F0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945CC7"/>
    <w:pPr>
      <w:keepNext/>
      <w:keepLines/>
      <w:spacing w:after="0"/>
      <w:ind w:left="10" w:hanging="10"/>
      <w:outlineLvl w:val="0"/>
    </w:pPr>
    <w:rPr>
      <w:rFonts w:ascii="Verdana" w:eastAsia="Verdana" w:hAnsi="Verdana" w:cs="Verdana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rsid w:val="00945CC7"/>
    <w:pPr>
      <w:keepNext/>
      <w:keepLines/>
      <w:spacing w:after="0"/>
      <w:ind w:left="10" w:hanging="10"/>
      <w:outlineLvl w:val="1"/>
    </w:pPr>
    <w:rPr>
      <w:rFonts w:ascii="Verdana" w:eastAsia="Verdana" w:hAnsi="Verdana" w:cs="Verdana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5CC7"/>
    <w:rPr>
      <w:rFonts w:ascii="Verdana" w:eastAsia="Verdana" w:hAnsi="Verdana" w:cs="Verdana"/>
      <w:b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945CC7"/>
    <w:rPr>
      <w:rFonts w:ascii="Verdana" w:eastAsia="Verdana" w:hAnsi="Verdana" w:cs="Verdana"/>
      <w:b/>
      <w:color w:val="000000"/>
    </w:rPr>
  </w:style>
  <w:style w:type="table" w:customStyle="1" w:styleId="TableGrid">
    <w:name w:val="TableGrid"/>
    <w:rsid w:val="00945CC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5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Visual Analogue Scale (VAS) </vt:lpstr>
      <vt:lpstr>Numerical rating scale (NRS) </vt:lpstr>
      <vt:lpstr>Faces rating scale (FRS) </vt:lpstr>
      <vt:lpstr>Behavioral rating scale </vt:lpstr>
      <vt:lpstr>Pain rating scales instructions </vt:lpstr>
      <vt:lpstr>    Subjective pain score </vt:lpstr>
      <vt:lpstr>    Visual analogue scale (VAS) </vt:lpstr>
      <vt:lpstr>    Numerical rating scale (NRS) </vt:lpstr>
      <vt:lpstr>    Faces rating scale (FRS) </vt:lpstr>
      <vt:lpstr>    Behavioral rating scale </vt:lpstr>
      <vt:lpstr>    Functional activity score </vt:lpstr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2019-04-02T12:12:00Z</dcterms:created>
  <dcterms:modified xsi:type="dcterms:W3CDTF">2019-04-02T12:12:00Z</dcterms:modified>
</cp:coreProperties>
</file>